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D0" w:rsidRDefault="00D74CD0">
      <w:pPr>
        <w:spacing w:after="0" w:line="240" w:lineRule="auto"/>
        <w:jc w:val="center"/>
        <w:rPr>
          <w:sz w:val="20"/>
          <w:szCs w:val="20"/>
        </w:rPr>
      </w:pPr>
    </w:p>
    <w:p w:rsidR="00D74CD0" w:rsidRDefault="00D01BD4">
      <w:pPr>
        <w:pStyle w:val="Ttulo2"/>
        <w:rPr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INSTRUÇÃO NORMATIVA n. 02</w:t>
      </w:r>
      <w:r w:rsidR="00531055" w:rsidRPr="001A380B">
        <w:rPr>
          <w:rFonts w:ascii="Calibri" w:hAnsi="Calibri"/>
          <w:strike/>
          <w:sz w:val="20"/>
          <w:szCs w:val="20"/>
        </w:rPr>
        <w:t>/2021.</w:t>
      </w:r>
      <w:r w:rsidR="00531055">
        <w:rPr>
          <w:rFonts w:ascii="Calibri" w:hAnsi="Calibri"/>
          <w:sz w:val="20"/>
          <w:szCs w:val="20"/>
        </w:rPr>
        <w:t xml:space="preserve">  </w:t>
      </w:r>
      <w:r w:rsidR="001A380B">
        <w:rPr>
          <w:rFonts w:ascii="Calibri" w:hAnsi="Calibri"/>
          <w:sz w:val="20"/>
          <w:szCs w:val="20"/>
        </w:rPr>
        <w:t>(REVOGADA pela IN n. CI/3/2021)</w:t>
      </w:r>
    </w:p>
    <w:p w:rsidR="00D74CD0" w:rsidRDefault="00D74CD0">
      <w:pPr>
        <w:pStyle w:val="Ttulo2"/>
        <w:rPr>
          <w:rFonts w:ascii="Calibri" w:hAnsi="Calibri"/>
          <w:sz w:val="20"/>
          <w:szCs w:val="20"/>
        </w:rPr>
      </w:pPr>
    </w:p>
    <w:p w:rsidR="00D74CD0" w:rsidRPr="001A380B" w:rsidRDefault="00531055">
      <w:pPr>
        <w:ind w:left="3686"/>
        <w:jc w:val="both"/>
        <w:rPr>
          <w:strike/>
          <w:sz w:val="20"/>
          <w:szCs w:val="20"/>
        </w:rPr>
      </w:pPr>
      <w:bookmarkStart w:id="0" w:name="_GoBack"/>
      <w:r w:rsidRPr="001A380B">
        <w:rPr>
          <w:strike/>
          <w:sz w:val="20"/>
          <w:szCs w:val="20"/>
        </w:rPr>
        <w:t>Em cumprimento ao disposto no art. 6º da Lei Complementar n. 82 de 01.06.2005, que dispõe sobre o Sistema de Controle Interno, c/</w:t>
      </w:r>
      <w:proofErr w:type="gramStart"/>
      <w:r w:rsidRPr="001A380B">
        <w:rPr>
          <w:strike/>
          <w:sz w:val="20"/>
          <w:szCs w:val="20"/>
        </w:rPr>
        <w:t>c</w:t>
      </w:r>
      <w:proofErr w:type="gramEnd"/>
      <w:r w:rsidRPr="001A380B">
        <w:rPr>
          <w:strike/>
          <w:sz w:val="20"/>
          <w:szCs w:val="20"/>
        </w:rPr>
        <w:t xml:space="preserve"> art. 5º, item XXI das atribuições do cargo de controlador interno, da Lei 230/2019, o Órgão Colegiado aprovou e o Controlador Interno expediu a Instrução Normativa que estabelece rotina mensal para aplicação e prestação de contas dos recursos conforme disposto na Lei 13.019/2014.</w:t>
      </w:r>
    </w:p>
    <w:p w:rsidR="00D74CD0" w:rsidRPr="001A380B" w:rsidRDefault="00D74CD0">
      <w:pPr>
        <w:pStyle w:val="Recuodecorpodetexto2"/>
        <w:rPr>
          <w:rFonts w:ascii="Calibri" w:hAnsi="Calibri" w:cs="Times New Roman"/>
          <w:strike/>
          <w:sz w:val="20"/>
          <w:szCs w:val="20"/>
        </w:rPr>
      </w:pPr>
    </w:p>
    <w:p w:rsidR="00D74CD0" w:rsidRPr="001A380B" w:rsidRDefault="00531055">
      <w:pPr>
        <w:pStyle w:val="Recuodecorpodetexto2"/>
        <w:spacing w:line="360" w:lineRule="auto"/>
        <w:ind w:firstLine="709"/>
        <w:jc w:val="center"/>
        <w:rPr>
          <w:strike/>
          <w:sz w:val="20"/>
          <w:szCs w:val="20"/>
        </w:rPr>
      </w:pPr>
      <w:r w:rsidRPr="001A380B">
        <w:rPr>
          <w:rFonts w:ascii="Calibri" w:hAnsi="Calibri" w:cs="Times New Roman"/>
          <w:strike/>
          <w:sz w:val="20"/>
          <w:szCs w:val="20"/>
        </w:rPr>
        <w:t>I – DAS DISPOSIÇÕES GERAIS.</w:t>
      </w:r>
    </w:p>
    <w:p w:rsidR="00D74CD0" w:rsidRPr="001A380B" w:rsidRDefault="00D74CD0">
      <w:pPr>
        <w:pStyle w:val="Recuodecorpodetexto2"/>
        <w:spacing w:line="360" w:lineRule="auto"/>
        <w:ind w:firstLine="709"/>
        <w:rPr>
          <w:rFonts w:ascii="Calibri" w:hAnsi="Calibri" w:cs="Times New Roman"/>
          <w:strike/>
          <w:sz w:val="20"/>
          <w:szCs w:val="20"/>
        </w:rPr>
      </w:pP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 w:cs="Times New Roman"/>
          <w:strike/>
          <w:sz w:val="20"/>
          <w:szCs w:val="20"/>
        </w:rPr>
        <w:t>Art. 1</w:t>
      </w:r>
      <w:r w:rsidRPr="001A380B">
        <w:rPr>
          <w:rFonts w:ascii="Calibri" w:hAnsi="Calibri" w:cs="Tahoma"/>
          <w:strike/>
          <w:sz w:val="20"/>
          <w:szCs w:val="20"/>
        </w:rPr>
        <w:t>º Para os fins desta Instrução Normativa consideram-se os conceitos dispostos no Art. 2º da Lei 13.019/2014.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Parágrafo único. São agentes considerados nesta Instrução Normativa: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I – </w:t>
      </w:r>
      <w:proofErr w:type="gramStart"/>
      <w:r w:rsidRPr="001A380B">
        <w:rPr>
          <w:rFonts w:ascii="Calibri" w:hAnsi="Calibri"/>
          <w:strike/>
          <w:sz w:val="20"/>
          <w:szCs w:val="20"/>
        </w:rPr>
        <w:t>organização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da sociedade civil;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II – </w:t>
      </w:r>
      <w:proofErr w:type="gramStart"/>
      <w:r w:rsidRPr="001A380B">
        <w:rPr>
          <w:rFonts w:ascii="Calibri" w:hAnsi="Calibri"/>
          <w:strike/>
          <w:sz w:val="20"/>
          <w:szCs w:val="20"/>
        </w:rPr>
        <w:t>administrador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público, na pessoa do prefeito, ou </w:t>
      </w:r>
      <w:r w:rsidRPr="001A380B">
        <w:rPr>
          <w:rFonts w:asciiTheme="minorHAnsi" w:hAnsiTheme="minorHAnsi"/>
          <w:strike/>
          <w:sz w:val="20"/>
          <w:szCs w:val="20"/>
        </w:rPr>
        <w:t>terceiro delegado com essa competência</w:t>
      </w:r>
      <w:r w:rsidRPr="001A380B">
        <w:rPr>
          <w:rFonts w:ascii="Calibri" w:hAnsi="Calibri"/>
          <w:strike/>
          <w:sz w:val="20"/>
          <w:szCs w:val="20"/>
        </w:rPr>
        <w:t>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III – comissão de monitoramento e avaliação;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color w:val="000000"/>
          <w:sz w:val="20"/>
          <w:szCs w:val="20"/>
        </w:rPr>
        <w:t xml:space="preserve">IV – </w:t>
      </w:r>
      <w:proofErr w:type="gramStart"/>
      <w:r w:rsidRPr="001A380B">
        <w:rPr>
          <w:rFonts w:ascii="Calibri" w:hAnsi="Calibri"/>
          <w:strike/>
          <w:color w:val="000000"/>
          <w:sz w:val="20"/>
          <w:szCs w:val="20"/>
        </w:rPr>
        <w:t>servidor</w:t>
      </w:r>
      <w:proofErr w:type="gramEnd"/>
      <w:r w:rsidRPr="001A380B">
        <w:rPr>
          <w:rFonts w:ascii="Calibri" w:hAnsi="Calibri"/>
          <w:strike/>
          <w:color w:val="000000"/>
          <w:sz w:val="20"/>
          <w:szCs w:val="20"/>
        </w:rPr>
        <w:t xml:space="preserve"> designado para emissão de relatório técnico de monitoramento e avaliação;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V – </w:t>
      </w:r>
      <w:proofErr w:type="gramStart"/>
      <w:r w:rsidRPr="001A380B">
        <w:rPr>
          <w:rFonts w:ascii="Calibri" w:hAnsi="Calibri"/>
          <w:strike/>
          <w:sz w:val="20"/>
          <w:szCs w:val="20"/>
        </w:rPr>
        <w:t>gestor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da parceria;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VI – </w:t>
      </w:r>
      <w:proofErr w:type="gramStart"/>
      <w:r w:rsidRPr="001A380B">
        <w:rPr>
          <w:rFonts w:ascii="Calibri" w:hAnsi="Calibri"/>
          <w:strike/>
          <w:sz w:val="20"/>
          <w:szCs w:val="20"/>
        </w:rPr>
        <w:t>controle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interno;</w:t>
      </w:r>
    </w:p>
    <w:p w:rsidR="00D74CD0" w:rsidRPr="001A380B" w:rsidRDefault="00531055">
      <w:pPr>
        <w:pStyle w:val="Recuode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VII – conselho de política pública da respectiva área de atuação.</w:t>
      </w:r>
    </w:p>
    <w:p w:rsidR="00D74CD0" w:rsidRPr="001A380B" w:rsidRDefault="00D74CD0">
      <w:pPr>
        <w:pStyle w:val="Default"/>
        <w:spacing w:line="360" w:lineRule="auto"/>
        <w:jc w:val="both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Default"/>
        <w:spacing w:line="360" w:lineRule="auto"/>
        <w:jc w:val="both"/>
        <w:rPr>
          <w:strike/>
          <w:sz w:val="20"/>
          <w:szCs w:val="20"/>
        </w:rPr>
      </w:pPr>
      <w:r w:rsidRPr="001A380B">
        <w:rPr>
          <w:rFonts w:ascii="Calibri" w:hAnsi="Calibri"/>
          <w:strike/>
          <w:color w:val="C9211E"/>
          <w:sz w:val="20"/>
          <w:szCs w:val="20"/>
        </w:rPr>
        <w:tab/>
      </w:r>
      <w:r w:rsidRPr="001A380B">
        <w:rPr>
          <w:rFonts w:ascii="Calibri" w:hAnsi="Calibri"/>
          <w:strike/>
          <w:sz w:val="20"/>
          <w:szCs w:val="20"/>
        </w:rPr>
        <w:t xml:space="preserve">Art. 2º </w:t>
      </w:r>
      <w:r w:rsidRPr="001A380B">
        <w:rPr>
          <w:rFonts w:asciiTheme="minorHAnsi" w:eastAsia="Times New Roman" w:hAnsiTheme="minorHAnsi" w:cs="Arial"/>
          <w:strike/>
          <w:sz w:val="20"/>
          <w:szCs w:val="20"/>
          <w:lang w:eastAsia="pt-BR"/>
        </w:rPr>
        <w:t xml:space="preserve">A rotina </w:t>
      </w:r>
      <w:r w:rsidRPr="001A380B">
        <w:rPr>
          <w:rFonts w:ascii="Calibri" w:hAnsi="Calibri"/>
          <w:strike/>
          <w:sz w:val="20"/>
          <w:szCs w:val="20"/>
        </w:rPr>
        <w:t xml:space="preserve">mensal de aplicação dos recursos e da prestação de contas das parcerias deverão seguir o fluxograma constante no anexo I e o cronograma dos prazos constantes no anexo II desta Instrução Normativa. </w:t>
      </w:r>
    </w:p>
    <w:p w:rsidR="00D74CD0" w:rsidRPr="001A380B" w:rsidRDefault="00531055">
      <w:pPr>
        <w:pStyle w:val="Default"/>
        <w:spacing w:line="360" w:lineRule="auto"/>
        <w:jc w:val="both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ab/>
      </w:r>
    </w:p>
    <w:p w:rsidR="00D74CD0" w:rsidRPr="001A380B" w:rsidRDefault="00531055">
      <w:pPr>
        <w:pStyle w:val="Default"/>
        <w:spacing w:line="360" w:lineRule="auto"/>
        <w:jc w:val="center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II – </w:t>
      </w:r>
      <w:r w:rsidRPr="001A380B">
        <w:rPr>
          <w:rFonts w:asciiTheme="minorHAnsi" w:eastAsia="Times New Roman" w:hAnsiTheme="minorHAnsi" w:cs="Arial"/>
          <w:strike/>
          <w:color w:val="auto"/>
          <w:sz w:val="20"/>
          <w:szCs w:val="20"/>
          <w:lang w:eastAsia="pt-BR"/>
        </w:rPr>
        <w:t>DA ROTINA</w:t>
      </w:r>
      <w:r w:rsidRPr="001A380B">
        <w:rPr>
          <w:rFonts w:ascii="Calibri" w:hAnsi="Calibri"/>
          <w:strike/>
          <w:sz w:val="20"/>
          <w:szCs w:val="20"/>
        </w:rPr>
        <w:t xml:space="preserve"> MENSAL DA PRESTAÇÃO DE CONTAS.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3º O gestor da parceria deverá controlar, acompanhar e fiscalizar a aplicação dos recursos, inclusive com visitas técnicas </w:t>
      </w:r>
      <w:r w:rsidRPr="001A380B">
        <w:rPr>
          <w:rFonts w:ascii="Calibri" w:hAnsi="Calibri"/>
          <w:i/>
          <w:strike/>
          <w:sz w:val="20"/>
          <w:szCs w:val="20"/>
        </w:rPr>
        <w:t>in loco</w:t>
      </w:r>
      <w:r w:rsidRPr="001A380B">
        <w:rPr>
          <w:rFonts w:ascii="Calibri" w:hAnsi="Calibri"/>
          <w:strike/>
          <w:sz w:val="20"/>
          <w:szCs w:val="20"/>
        </w:rPr>
        <w:t>.</w:t>
      </w:r>
    </w:p>
    <w:p w:rsidR="00D74CD0" w:rsidRPr="001A380B" w:rsidRDefault="00D01BD4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Parágrafo único. As visitas técnicas </w:t>
      </w:r>
      <w:r w:rsidRPr="001A380B">
        <w:rPr>
          <w:rFonts w:ascii="Calibri" w:hAnsi="Calibri"/>
          <w:i/>
          <w:strike/>
          <w:sz w:val="20"/>
          <w:szCs w:val="20"/>
        </w:rPr>
        <w:t xml:space="preserve">in loco </w:t>
      </w:r>
      <w:r w:rsidRPr="001A380B">
        <w:rPr>
          <w:rFonts w:ascii="Calibri" w:hAnsi="Calibri"/>
          <w:strike/>
          <w:sz w:val="20"/>
          <w:szCs w:val="20"/>
        </w:rPr>
        <w:t xml:space="preserve">resultarão no relatório de visita técnica </w:t>
      </w:r>
      <w:r w:rsidRPr="001A380B">
        <w:rPr>
          <w:rFonts w:ascii="Calibri" w:hAnsi="Calibri"/>
          <w:i/>
          <w:strike/>
          <w:sz w:val="20"/>
          <w:szCs w:val="20"/>
        </w:rPr>
        <w:t xml:space="preserve">in </w:t>
      </w:r>
      <w:proofErr w:type="gramStart"/>
      <w:r w:rsidRPr="001A380B">
        <w:rPr>
          <w:rFonts w:ascii="Calibri" w:hAnsi="Calibri"/>
          <w:i/>
          <w:strike/>
          <w:sz w:val="20"/>
          <w:szCs w:val="20"/>
        </w:rPr>
        <w:t xml:space="preserve">loco </w:t>
      </w:r>
      <w:r w:rsidRPr="001A380B">
        <w:rPr>
          <w:rFonts w:ascii="Calibri" w:hAnsi="Calibri"/>
          <w:strike/>
          <w:sz w:val="20"/>
          <w:szCs w:val="20"/>
        </w:rPr>
        <w:t>Conforme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anexo III dessa Instrução Normativa.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4º A organização da sociedade civil prestará contas mensalmente da parcela recebida, devendo ser realizada </w:t>
      </w:r>
      <w:r w:rsidRPr="001A380B">
        <w:rPr>
          <w:rFonts w:asciiTheme="minorHAnsi" w:hAnsiTheme="minorHAnsi"/>
          <w:strike/>
          <w:sz w:val="20"/>
          <w:szCs w:val="20"/>
        </w:rPr>
        <w:t xml:space="preserve">dentro 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do prazo </w:t>
      </w:r>
      <w:r w:rsidR="00BE2B28" w:rsidRPr="001A380B">
        <w:rPr>
          <w:rFonts w:asciiTheme="minorHAnsi" w:hAnsiTheme="minorHAnsi"/>
          <w:strike/>
          <w:color w:val="000000"/>
          <w:sz w:val="20"/>
          <w:szCs w:val="20"/>
        </w:rPr>
        <w:t>de 5 (cinco) dias a partir da data de fechamento do período de aplicação dos recursos do repasse conforme art. 10.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</w:p>
    <w:p w:rsidR="00BE2B28" w:rsidRPr="001A380B" w:rsidRDefault="00BE2B28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BE2B28" w:rsidRPr="001A380B" w:rsidRDefault="00BE2B28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BE2B28" w:rsidRPr="001A380B" w:rsidRDefault="00BE2B28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§1º A prestação de contas deverá conter, dentre outros exigidos na Lei 13.019/14, relatório de execução do objeto e relatório de execução financeira.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§2º A prestação de contas será encaminhada ao servidor responsável pela emissão do relatório técnico de monitoramento e avaliação conforme dispõe o art. 5º.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Art. 5º </w:t>
      </w:r>
      <w:r w:rsidRPr="001A380B">
        <w:rPr>
          <w:rFonts w:ascii="Calibri" w:hAnsi="Calibri"/>
          <w:strike/>
          <w:sz w:val="20"/>
          <w:szCs w:val="20"/>
        </w:rPr>
        <w:t xml:space="preserve">A administração pública designará, </w:t>
      </w:r>
      <w:r w:rsidRPr="001A380B">
        <w:rPr>
          <w:rFonts w:ascii="Calibri" w:hAnsi="Calibri"/>
          <w:strike/>
          <w:color w:val="000000"/>
          <w:sz w:val="20"/>
          <w:szCs w:val="20"/>
        </w:rPr>
        <w:t xml:space="preserve">no mínimo, </w:t>
      </w:r>
      <w:r w:rsidRPr="001A380B">
        <w:rPr>
          <w:rFonts w:asciiTheme="minorHAnsi" w:hAnsiTheme="minorHAnsi"/>
          <w:strike/>
          <w:sz w:val="20"/>
          <w:szCs w:val="20"/>
        </w:rPr>
        <w:t>1 (um) servidor que ficará responsável pela emissão do relatório técnico de monitoramento e avaliação conforme anexo IV desta Instrução Normativa.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§1º O relatório técnico de monitoramento e avaliação deverá considerar, dentre outros, o relatório de visita técnica </w:t>
      </w:r>
      <w:r w:rsidRPr="001A380B">
        <w:rPr>
          <w:rFonts w:ascii="Calibri" w:hAnsi="Calibri"/>
          <w:i/>
          <w:iCs/>
          <w:strike/>
          <w:sz w:val="20"/>
          <w:szCs w:val="20"/>
        </w:rPr>
        <w:t>in loco</w:t>
      </w:r>
      <w:r w:rsidRPr="001A380B">
        <w:rPr>
          <w:rFonts w:ascii="Calibri" w:hAnsi="Calibri"/>
          <w:strike/>
          <w:sz w:val="20"/>
          <w:szCs w:val="20"/>
        </w:rPr>
        <w:t xml:space="preserve"> eventualmente realizada durante a execução da parceria.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§2º Dentro do prazo </w:t>
      </w:r>
      <w:r w:rsidR="00BE2B28" w:rsidRPr="001A380B">
        <w:rPr>
          <w:rFonts w:asciiTheme="minorHAnsi" w:hAnsiTheme="minorHAnsi"/>
          <w:strike/>
          <w:color w:val="000000"/>
          <w:sz w:val="20"/>
          <w:szCs w:val="20"/>
        </w:rPr>
        <w:t>de 10 (dez) dias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, </w:t>
      </w:r>
      <w:r w:rsidRPr="001A380B">
        <w:rPr>
          <w:rFonts w:asciiTheme="minorHAnsi" w:hAnsiTheme="minorHAnsi"/>
          <w:strike/>
          <w:sz w:val="20"/>
          <w:szCs w:val="20"/>
        </w:rPr>
        <w:t>o</w:t>
      </w:r>
      <w:r w:rsidRPr="001A380B">
        <w:rPr>
          <w:rFonts w:ascii="Calibri" w:hAnsi="Calibri"/>
          <w:strike/>
          <w:sz w:val="20"/>
          <w:szCs w:val="20"/>
        </w:rPr>
        <w:t xml:space="preserve"> relatório técnico de monitoramento e avaliação </w:t>
      </w:r>
      <w:r w:rsidRPr="001A380B">
        <w:rPr>
          <w:rFonts w:asciiTheme="minorHAnsi" w:hAnsiTheme="minorHAnsi"/>
          <w:strike/>
          <w:sz w:val="20"/>
          <w:szCs w:val="20"/>
        </w:rPr>
        <w:t>será</w:t>
      </w:r>
      <w:r w:rsidRPr="001A380B">
        <w:rPr>
          <w:rFonts w:ascii="Calibri" w:hAnsi="Calibri"/>
          <w:strike/>
          <w:sz w:val="20"/>
          <w:szCs w:val="20"/>
        </w:rPr>
        <w:t xml:space="preserve"> </w:t>
      </w:r>
      <w:r w:rsidRPr="001A380B">
        <w:rPr>
          <w:rFonts w:asciiTheme="minorHAnsi" w:hAnsiTheme="minorHAnsi"/>
          <w:strike/>
          <w:sz w:val="20"/>
          <w:szCs w:val="20"/>
        </w:rPr>
        <w:t>encaminhado</w:t>
      </w:r>
      <w:r w:rsidRPr="001A380B">
        <w:rPr>
          <w:rFonts w:ascii="Calibri" w:hAnsi="Calibri"/>
          <w:strike/>
          <w:sz w:val="20"/>
          <w:szCs w:val="20"/>
        </w:rPr>
        <w:t xml:space="preserve"> para homologação da comissão de monitoramento e avaliação.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§3º Excepcionalmente, e por motivo justificado, poderá a comissão de monitoramento e avaliação assumir a competência pela emissão do relatório técnico de monitoramento e avaliação.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Art. 6º A comissão de monitoramento e avaliação será composta por</w:t>
      </w:r>
      <w:r w:rsidR="00596FF1" w:rsidRPr="001A380B">
        <w:rPr>
          <w:rFonts w:ascii="Calibri" w:hAnsi="Calibri"/>
          <w:strike/>
          <w:sz w:val="20"/>
          <w:szCs w:val="20"/>
        </w:rPr>
        <w:t xml:space="preserve"> </w:t>
      </w:r>
      <w:r w:rsidRPr="001A380B">
        <w:rPr>
          <w:rFonts w:ascii="Calibri" w:hAnsi="Calibri"/>
          <w:strike/>
          <w:sz w:val="20"/>
          <w:szCs w:val="20"/>
        </w:rPr>
        <w:t>3 (três) membros, sendo assegurada a participação de pelo menos 1 (um) servidor ocupante de cargo efetivo.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</w:t>
      </w:r>
      <w:r w:rsidRPr="001A380B">
        <w:rPr>
          <w:rFonts w:ascii="Calibri" w:hAnsi="Calibri"/>
          <w:strike/>
          <w:sz w:val="20"/>
          <w:szCs w:val="20"/>
        </w:rPr>
        <w:t>1º A comiss</w:t>
      </w:r>
      <w:r w:rsidR="00596FF1" w:rsidRPr="001A380B">
        <w:rPr>
          <w:rFonts w:ascii="Calibri" w:hAnsi="Calibri"/>
          <w:strike/>
          <w:sz w:val="20"/>
          <w:szCs w:val="20"/>
        </w:rPr>
        <w:t>ão de monitoramento e avaliação</w:t>
      </w:r>
      <w:r w:rsidRPr="001A380B">
        <w:rPr>
          <w:rFonts w:ascii="Calibri" w:hAnsi="Calibri"/>
          <w:strike/>
          <w:sz w:val="20"/>
          <w:szCs w:val="20"/>
        </w:rPr>
        <w:t xml:space="preserve"> </w:t>
      </w:r>
      <w:r w:rsidRPr="001A380B">
        <w:rPr>
          <w:rFonts w:asciiTheme="minorHAnsi" w:hAnsiTheme="minorHAnsi"/>
          <w:strike/>
          <w:sz w:val="20"/>
          <w:szCs w:val="20"/>
        </w:rPr>
        <w:t>dentro</w:t>
      </w:r>
      <w:r w:rsidR="00596FF1" w:rsidRPr="001A380B">
        <w:rPr>
          <w:rFonts w:asciiTheme="minorHAnsi" w:hAnsiTheme="minorHAnsi"/>
          <w:strike/>
          <w:sz w:val="20"/>
          <w:szCs w:val="20"/>
        </w:rPr>
        <w:t xml:space="preserve"> de 5 (cinco) </w:t>
      </w:r>
      <w:proofErr w:type="gramStart"/>
      <w:r w:rsidR="00596FF1" w:rsidRPr="001A380B">
        <w:rPr>
          <w:rFonts w:asciiTheme="minorHAnsi" w:hAnsiTheme="minorHAnsi"/>
          <w:strike/>
          <w:sz w:val="20"/>
          <w:szCs w:val="20"/>
        </w:rPr>
        <w:t xml:space="preserve">dias </w:t>
      </w:r>
      <w:r w:rsidRPr="001A380B">
        <w:rPr>
          <w:rFonts w:ascii="Calibri" w:hAnsi="Calibri"/>
          <w:strike/>
          <w:sz w:val="20"/>
          <w:szCs w:val="20"/>
        </w:rPr>
        <w:t xml:space="preserve"> homologará</w:t>
      </w:r>
      <w:proofErr w:type="gramEnd"/>
      <w:r w:rsidRPr="001A380B">
        <w:rPr>
          <w:rFonts w:ascii="Calibri" w:hAnsi="Calibri"/>
          <w:strike/>
          <w:sz w:val="20"/>
          <w:szCs w:val="20"/>
        </w:rPr>
        <w:t xml:space="preserve"> o relatório técnico de monitoramento e avaliação e encaminhará ao gestor da parceria.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§2º Em caso de não homologação, a comissão de monitoramento e avaliação devolverá o relatório ao servidor responsável pela sua emissão, conforme art. 5º, para que dentro </w:t>
      </w:r>
      <w:r w:rsidR="001C741D"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de 5 (cinco) dias </w:t>
      </w:r>
      <w:r w:rsidRPr="001A380B">
        <w:rPr>
          <w:rFonts w:ascii="Calibri" w:hAnsi="Calibri"/>
          <w:strike/>
          <w:sz w:val="20"/>
          <w:szCs w:val="20"/>
        </w:rPr>
        <w:t>sejam realizadas as correções apontadas.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 w:cstheme="minorBidi"/>
          <w:strike/>
          <w:sz w:val="20"/>
          <w:szCs w:val="20"/>
        </w:rPr>
        <w:t xml:space="preserve">§3º Sanados os apontamentos, o relatório retornará à comissão de monitoramento e avaliação que, 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dentro </w:t>
      </w:r>
      <w:r w:rsidR="001C741D" w:rsidRPr="001A380B">
        <w:rPr>
          <w:rFonts w:asciiTheme="minorHAnsi" w:hAnsiTheme="minorHAnsi"/>
          <w:strike/>
          <w:color w:val="000000"/>
          <w:sz w:val="20"/>
          <w:szCs w:val="20"/>
        </w:rPr>
        <w:t>de 5 (cinco) dias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>,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>homologará o mesmo e dará continuidade a tramitação conforme § 1º deste artigo.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7º De posse do relatório técnico de monitoramento e avaliação homologado pela comissão de monitoramento e avaliação, o gestor da parceria, </w:t>
      </w:r>
      <w:r w:rsidRPr="001A380B">
        <w:rPr>
          <w:rFonts w:ascii="Calibri" w:hAnsi="Calibri"/>
          <w:strike/>
          <w:color w:val="000000"/>
          <w:sz w:val="20"/>
          <w:szCs w:val="20"/>
        </w:rPr>
        <w:t xml:space="preserve">dentro </w:t>
      </w:r>
      <w:r w:rsidR="00F503BE" w:rsidRPr="001A380B">
        <w:rPr>
          <w:rFonts w:asciiTheme="minorHAnsi" w:hAnsiTheme="minorHAnsi"/>
          <w:strike/>
          <w:color w:val="000000"/>
          <w:sz w:val="20"/>
          <w:szCs w:val="20"/>
        </w:rPr>
        <w:t>de 10 (dez) dias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>,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  <w:r w:rsidRPr="001A380B">
        <w:rPr>
          <w:rFonts w:ascii="Calibri" w:hAnsi="Calibri"/>
          <w:strike/>
          <w:sz w:val="20"/>
          <w:szCs w:val="20"/>
        </w:rPr>
        <w:t xml:space="preserve">emitirá parecer técnico conclusivo de análise, </w:t>
      </w:r>
      <w:r w:rsidRPr="001A380B">
        <w:rPr>
          <w:rFonts w:asciiTheme="minorHAnsi" w:hAnsiTheme="minorHAnsi"/>
          <w:strike/>
          <w:sz w:val="20"/>
          <w:szCs w:val="20"/>
        </w:rPr>
        <w:t>considerando a prestação de contas regular, regular com ressalvas ou irregular, conforme anexo V desta Instrução Normativa.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§1º </w:t>
      </w:r>
      <w:r w:rsidR="003E0E0A" w:rsidRPr="001A380B">
        <w:rPr>
          <w:rFonts w:asciiTheme="minorHAnsi" w:hAnsiTheme="minorHAnsi"/>
          <w:strike/>
          <w:color w:val="000000"/>
          <w:sz w:val="20"/>
          <w:szCs w:val="20"/>
        </w:rPr>
        <w:t>Em até 3 (três) dias contados de seu recebimento,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  <w:r w:rsidRPr="001A380B">
        <w:rPr>
          <w:rFonts w:asciiTheme="minorHAnsi" w:hAnsiTheme="minorHAnsi"/>
          <w:strike/>
          <w:sz w:val="20"/>
          <w:szCs w:val="20"/>
        </w:rPr>
        <w:t>o gestor da parceria encaminhará cópia do relatório técnico de monitoramento e avaliação para parecer do controle interno e análise do conselho, os quais deverão devolvê-lo ao gestor da parceria no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 prazo </w:t>
      </w:r>
      <w:r w:rsidR="003E0E0A" w:rsidRPr="001A380B">
        <w:rPr>
          <w:rFonts w:asciiTheme="minorHAnsi" w:hAnsiTheme="minorHAnsi"/>
          <w:strike/>
          <w:color w:val="000000"/>
          <w:sz w:val="20"/>
          <w:szCs w:val="20"/>
        </w:rPr>
        <w:t>de 5 (cinco) dias contados do seu recebimento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>.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§2º É ato discricionário do gestor da parceria considerar ou não o parecer do controle interno e análise do conselho na emissão de seu parecer técnico conclusivo.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BA1D47" w:rsidRPr="001A380B" w:rsidRDefault="00BA1D47">
      <w:pPr>
        <w:pStyle w:val="Corpodetexto2"/>
        <w:spacing w:line="360" w:lineRule="auto"/>
        <w:ind w:firstLine="709"/>
        <w:rPr>
          <w:rFonts w:asciiTheme="minorHAnsi" w:hAnsiTheme="minorHAns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</w:t>
      </w:r>
      <w:r w:rsidR="00BA1D47" w:rsidRPr="001A380B">
        <w:rPr>
          <w:rFonts w:asciiTheme="minorHAnsi" w:hAnsiTheme="minorHAnsi"/>
          <w:strike/>
          <w:sz w:val="20"/>
          <w:szCs w:val="20"/>
        </w:rPr>
        <w:t>3</w:t>
      </w:r>
      <w:r w:rsidRPr="001A380B">
        <w:rPr>
          <w:rFonts w:asciiTheme="minorHAnsi" w:hAnsiTheme="minorHAnsi"/>
          <w:strike/>
          <w:sz w:val="20"/>
          <w:szCs w:val="20"/>
        </w:rPr>
        <w:t xml:space="preserve">º O gestor da parceria, considerando a prestação de contas regular com ressalvas ou irregular, convocará a organização da sociedade civil para que, 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dentro </w:t>
      </w:r>
      <w:r w:rsidR="00BA1D47"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de 10 (dez) dias prorrogáveis por igual </w:t>
      </w:r>
      <w:r w:rsidR="001105B7" w:rsidRPr="001A380B">
        <w:rPr>
          <w:rFonts w:asciiTheme="minorHAnsi" w:hAnsiTheme="minorHAnsi"/>
          <w:strike/>
          <w:color w:val="000000"/>
          <w:sz w:val="20"/>
          <w:szCs w:val="20"/>
        </w:rPr>
        <w:t>período,</w:t>
      </w:r>
      <w:r w:rsidR="001105B7"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  <w:r w:rsidR="001105B7" w:rsidRPr="001A380B">
        <w:rPr>
          <w:rFonts w:asciiTheme="minorHAnsi" w:hAnsiTheme="minorHAnsi"/>
          <w:strike/>
          <w:sz w:val="20"/>
          <w:szCs w:val="20"/>
        </w:rPr>
        <w:t>faça</w:t>
      </w:r>
      <w:r w:rsidRPr="001A380B">
        <w:rPr>
          <w:rFonts w:asciiTheme="minorHAnsi" w:hAnsiTheme="minorHAnsi"/>
          <w:strike/>
          <w:sz w:val="20"/>
          <w:szCs w:val="20"/>
        </w:rPr>
        <w:t xml:space="preserve"> as correções necessárias ou ressarcimento ao erário.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</w:t>
      </w:r>
      <w:r w:rsidR="00BA1D47" w:rsidRPr="001A380B">
        <w:rPr>
          <w:rFonts w:asciiTheme="minorHAnsi" w:hAnsiTheme="minorHAnsi"/>
          <w:strike/>
          <w:sz w:val="20"/>
          <w:szCs w:val="20"/>
        </w:rPr>
        <w:t>4</w:t>
      </w:r>
      <w:r w:rsidRPr="001A380B">
        <w:rPr>
          <w:rFonts w:asciiTheme="minorHAnsi" w:hAnsiTheme="minorHAnsi"/>
          <w:strike/>
          <w:sz w:val="20"/>
          <w:szCs w:val="20"/>
        </w:rPr>
        <w:t>º O gestor da parceria, considerando a prestação de contas regular, a encaminhará para manifestação conclusiva do administrador público, ficando dessa forma liberado o repasse da parcela seguinte.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Theme="minorHAnsi" w:hAnsiTheme="minorHAns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Art. 8º O administrador público, na pessoa do prefeito ou terceiro designado para tal finalidade, 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 xml:space="preserve">dentro </w:t>
      </w:r>
      <w:r w:rsidR="00CF7A8B" w:rsidRPr="001A380B">
        <w:rPr>
          <w:rFonts w:asciiTheme="minorHAnsi" w:hAnsiTheme="minorHAnsi"/>
          <w:strike/>
          <w:color w:val="000000"/>
          <w:sz w:val="20"/>
          <w:szCs w:val="20"/>
        </w:rPr>
        <w:t>de 45 (quarenta e cinco) dias</w:t>
      </w:r>
      <w:r w:rsidRPr="001A380B">
        <w:rPr>
          <w:rFonts w:asciiTheme="minorHAnsi" w:hAnsiTheme="minorHAnsi"/>
          <w:strike/>
          <w:color w:val="000000"/>
          <w:sz w:val="20"/>
          <w:szCs w:val="20"/>
        </w:rPr>
        <w:t>,</w:t>
      </w:r>
      <w:r w:rsidRPr="001A380B">
        <w:rPr>
          <w:rFonts w:asciiTheme="minorHAnsi" w:hAnsiTheme="minorHAnsi"/>
          <w:strike/>
          <w:color w:val="C9211E"/>
          <w:sz w:val="20"/>
          <w:szCs w:val="20"/>
        </w:rPr>
        <w:t xml:space="preserve"> </w:t>
      </w:r>
      <w:r w:rsidRPr="001A380B">
        <w:rPr>
          <w:rFonts w:asciiTheme="minorHAnsi" w:hAnsiTheme="minorHAnsi"/>
          <w:strike/>
          <w:sz w:val="20"/>
          <w:szCs w:val="20"/>
        </w:rPr>
        <w:t>fará a manifestação conclusiva do parecer técnico conclusivo de análise encaminhado pelo gestor da parceria conforme art. 7º, manifestando-se pela aprovação, aprovação com ressalvas ou rejeição da prestação de contas.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§1º Quando da manifestação pela aprovação da prestação de contas, a mesma será arquivada.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§2º Quando da manifestação pela aprovação com ressalvas da prestação de contas, a organização da sociedade civil será orientada a proceder as correções para as próximas prestações de contas, sendo então arquivada.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rFonts w:asciiTheme="minorHAnsi" w:hAnsiTheme="minorHAnsi"/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>§3º Quando da manifestação pela rejeição da prestação de contas, será determinada imediata instauração de tomada de contas especial e suspensão de novos repasses até que seja regularizada a situação.</w:t>
      </w:r>
    </w:p>
    <w:p w:rsidR="00343D1D" w:rsidRPr="001A380B" w:rsidRDefault="00343D1D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§4º O prazo de 45 (quarenta e cinco) dias constante no </w:t>
      </w:r>
      <w:r w:rsidRPr="001A380B">
        <w:rPr>
          <w:rFonts w:asciiTheme="minorHAnsi" w:hAnsiTheme="minorHAnsi"/>
          <w:i/>
          <w:strike/>
          <w:sz w:val="20"/>
          <w:szCs w:val="20"/>
        </w:rPr>
        <w:t xml:space="preserve">caput, </w:t>
      </w:r>
      <w:r w:rsidRPr="001A380B">
        <w:rPr>
          <w:rFonts w:asciiTheme="minorHAnsi" w:hAnsiTheme="minorHAnsi"/>
          <w:strike/>
          <w:sz w:val="20"/>
          <w:szCs w:val="20"/>
        </w:rPr>
        <w:t xml:space="preserve">levará em consideração o parecer técnico conclusivo do gestor da parceria como regular. Sendo considerado o parecer técnico conclusivo como regular com ressalvas ou irregular, os prazos dispostos no §3º do art. 7º serão deduzidos do prazo do </w:t>
      </w:r>
      <w:r w:rsidRPr="001A380B">
        <w:rPr>
          <w:rFonts w:asciiTheme="minorHAnsi" w:hAnsiTheme="minorHAnsi"/>
          <w:i/>
          <w:strike/>
          <w:sz w:val="20"/>
          <w:szCs w:val="20"/>
        </w:rPr>
        <w:t>caput</w:t>
      </w:r>
      <w:r w:rsidRPr="001A380B">
        <w:rPr>
          <w:rFonts w:asciiTheme="minorHAnsi" w:hAnsiTheme="minorHAnsi"/>
          <w:strike/>
          <w:sz w:val="20"/>
          <w:szCs w:val="20"/>
        </w:rPr>
        <w:t xml:space="preserve"> deste artigo.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Default"/>
        <w:spacing w:line="360" w:lineRule="auto"/>
        <w:jc w:val="center"/>
        <w:rPr>
          <w:strike/>
          <w:sz w:val="20"/>
          <w:szCs w:val="20"/>
        </w:rPr>
      </w:pPr>
      <w:r w:rsidRPr="001A380B">
        <w:rPr>
          <w:rFonts w:ascii="Calibri" w:hAnsi="Calibri"/>
          <w:strike/>
          <w:color w:val="C9211E"/>
          <w:sz w:val="20"/>
          <w:szCs w:val="20"/>
        </w:rPr>
        <w:t xml:space="preserve"> </w:t>
      </w:r>
      <w:r w:rsidRPr="001A380B">
        <w:rPr>
          <w:rFonts w:ascii="Calibri" w:hAnsi="Calibri"/>
          <w:strike/>
          <w:sz w:val="20"/>
          <w:szCs w:val="20"/>
        </w:rPr>
        <w:t xml:space="preserve">III– </w:t>
      </w:r>
      <w:r w:rsidRPr="001A380B">
        <w:rPr>
          <w:rFonts w:asciiTheme="minorHAnsi" w:eastAsia="Times New Roman" w:hAnsiTheme="minorHAnsi" w:cs="Arial"/>
          <w:strike/>
          <w:color w:val="auto"/>
          <w:sz w:val="20"/>
          <w:szCs w:val="20"/>
          <w:lang w:eastAsia="pt-BR"/>
        </w:rPr>
        <w:t>DAS LIBERAÇÕES E APLICAÇÕES DOS RECURSOS</w:t>
      </w:r>
      <w:r w:rsidRPr="001A380B">
        <w:rPr>
          <w:rFonts w:ascii="Calibri" w:hAnsi="Calibri"/>
          <w:strike/>
          <w:sz w:val="20"/>
          <w:szCs w:val="20"/>
        </w:rPr>
        <w:t>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Art. 9º A liberação e aplicação dos recursos serão realizados de forma mensal, obedecendo o cronograma dos prazos conforme anexo II desta Instrução Normativa.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10 </w:t>
      </w:r>
      <w:r w:rsidRPr="001A380B">
        <w:rPr>
          <w:rFonts w:asciiTheme="minorHAnsi" w:hAnsiTheme="minorHAnsi"/>
          <w:strike/>
          <w:sz w:val="20"/>
          <w:szCs w:val="20"/>
        </w:rPr>
        <w:t>A</w:t>
      </w:r>
      <w:r w:rsidRPr="001A380B">
        <w:rPr>
          <w:rFonts w:ascii="Calibri" w:hAnsi="Calibri"/>
          <w:strike/>
          <w:sz w:val="20"/>
          <w:szCs w:val="20"/>
        </w:rPr>
        <w:t xml:space="preserve"> organização da sociedade civil deverá aplicar os recursos recebidos dentro de 30 (trinta) dias a contar de seu recebimento.</w:t>
      </w: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Parágrafo único. As 3 (três) parcelas</w:t>
      </w:r>
      <w:r w:rsidR="00313C3A" w:rsidRPr="001A380B">
        <w:rPr>
          <w:rFonts w:ascii="Calibri" w:hAnsi="Calibri"/>
          <w:strike/>
          <w:sz w:val="20"/>
          <w:szCs w:val="20"/>
        </w:rPr>
        <w:t xml:space="preserve"> iniciais</w:t>
      </w:r>
      <w:r w:rsidRPr="001A380B">
        <w:rPr>
          <w:rFonts w:ascii="Calibri" w:hAnsi="Calibri"/>
          <w:strike/>
          <w:sz w:val="20"/>
          <w:szCs w:val="20"/>
        </w:rPr>
        <w:t xml:space="preserve"> serão liberadas consecutivamente nos 3 (três) meses</w:t>
      </w:r>
      <w:r w:rsidR="00313C3A" w:rsidRPr="001A380B">
        <w:rPr>
          <w:rFonts w:ascii="Calibri" w:hAnsi="Calibri"/>
          <w:strike/>
          <w:sz w:val="20"/>
          <w:szCs w:val="20"/>
        </w:rPr>
        <w:t xml:space="preserve"> iniciais</w:t>
      </w:r>
      <w:r w:rsidRPr="001A380B">
        <w:rPr>
          <w:rFonts w:ascii="Calibri" w:hAnsi="Calibri"/>
          <w:strike/>
          <w:sz w:val="20"/>
          <w:szCs w:val="20"/>
        </w:rPr>
        <w:t xml:space="preserve"> contados do início da parceria, sendo que da quarta parcela em diante serão considerados os dispostos nos art. </w:t>
      </w:r>
      <w:r w:rsidRPr="001A380B">
        <w:rPr>
          <w:rFonts w:asciiTheme="minorHAnsi" w:hAnsiTheme="minorHAnsi" w:cstheme="minorBidi"/>
          <w:strike/>
          <w:sz w:val="20"/>
          <w:szCs w:val="20"/>
        </w:rPr>
        <w:t xml:space="preserve">12 e 13 desta Instrução Normativa. 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Art. 11 A finalização da análise da prestação de contas referente a primeira parcela, desconsiderando a manifestação conclusiva do administrador público, será concomitante à finalização da aplicação da terceira parcela.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Theme="minorHAnsi" w:hAnsiTheme="minorHAnsi"/>
          <w:strike/>
          <w:sz w:val="20"/>
          <w:szCs w:val="20"/>
        </w:rPr>
        <w:t xml:space="preserve">Art. 12 </w:t>
      </w:r>
      <w:r w:rsidRPr="001A380B">
        <w:rPr>
          <w:rFonts w:ascii="Calibri" w:hAnsi="Calibri"/>
          <w:strike/>
          <w:sz w:val="20"/>
          <w:szCs w:val="20"/>
        </w:rPr>
        <w:t xml:space="preserve">A liberação da quarta parcela será conjugada </w:t>
      </w:r>
      <w:r w:rsidRPr="001A380B">
        <w:rPr>
          <w:rFonts w:asciiTheme="minorHAnsi" w:hAnsiTheme="minorHAnsi"/>
          <w:strike/>
          <w:sz w:val="20"/>
          <w:szCs w:val="20"/>
        </w:rPr>
        <w:t>entre</w:t>
      </w:r>
      <w:r w:rsidRPr="001A380B">
        <w:rPr>
          <w:rFonts w:ascii="Calibri" w:hAnsi="Calibri"/>
          <w:strike/>
          <w:sz w:val="20"/>
          <w:szCs w:val="20"/>
        </w:rPr>
        <w:t xml:space="preserve"> o término do período de aplicação da terceira parcela e a finalização da análise da prestação de contas da primeira parcela, desconsiderando a manifestação conclusiva do administrador público. 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13 A liberação da quinta parcela será conjugada </w:t>
      </w:r>
      <w:r w:rsidRPr="001A380B">
        <w:rPr>
          <w:rFonts w:asciiTheme="minorHAnsi" w:hAnsiTheme="minorHAnsi"/>
          <w:strike/>
          <w:sz w:val="20"/>
          <w:szCs w:val="20"/>
        </w:rPr>
        <w:t>entre</w:t>
      </w:r>
      <w:r w:rsidRPr="001A380B">
        <w:rPr>
          <w:rFonts w:ascii="Calibri" w:hAnsi="Calibri"/>
          <w:strike/>
          <w:sz w:val="20"/>
          <w:szCs w:val="20"/>
        </w:rPr>
        <w:t xml:space="preserve"> o término do período de aplicação da quarta parcela e a finalização da análise da prestação de contas da </w:t>
      </w:r>
      <w:r w:rsidRPr="001A380B">
        <w:rPr>
          <w:rFonts w:asciiTheme="minorHAnsi" w:hAnsiTheme="minorHAnsi"/>
          <w:strike/>
          <w:sz w:val="20"/>
          <w:szCs w:val="20"/>
        </w:rPr>
        <w:t>segunda</w:t>
      </w:r>
      <w:r w:rsidRPr="001A380B">
        <w:rPr>
          <w:rFonts w:ascii="Calibri" w:hAnsi="Calibri"/>
          <w:strike/>
          <w:sz w:val="20"/>
          <w:szCs w:val="20"/>
        </w:rPr>
        <w:t xml:space="preserve"> parcela, desconsiderando a manifestação conclusiva do administrador público, e assim sucessivamente até a última parcela.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 xml:space="preserve">Art. 14 </w:t>
      </w:r>
      <w:r w:rsidRPr="001A380B">
        <w:rPr>
          <w:rFonts w:asciiTheme="minorHAnsi" w:hAnsiTheme="minorHAnsi"/>
          <w:strike/>
          <w:sz w:val="20"/>
          <w:szCs w:val="20"/>
        </w:rPr>
        <w:t>É considerado como finalização da análise da prestação de contas do que tratam os art. 11, 12 e 13, o disposto no §</w:t>
      </w:r>
      <w:r w:rsidR="00646F28" w:rsidRPr="001A380B">
        <w:rPr>
          <w:rFonts w:asciiTheme="minorHAnsi" w:hAnsiTheme="minorHAnsi"/>
          <w:strike/>
          <w:sz w:val="20"/>
          <w:szCs w:val="20"/>
        </w:rPr>
        <w:t>4</w:t>
      </w:r>
      <w:r w:rsidRPr="001A380B">
        <w:rPr>
          <w:rFonts w:asciiTheme="minorHAnsi" w:hAnsiTheme="minorHAnsi"/>
          <w:strike/>
          <w:sz w:val="20"/>
          <w:szCs w:val="20"/>
        </w:rPr>
        <w:t>º do art. 7º, bem como os prazos para correção da prestação de contas conforme §</w:t>
      </w:r>
      <w:r w:rsidR="00646F28" w:rsidRPr="001A380B">
        <w:rPr>
          <w:rFonts w:asciiTheme="minorHAnsi" w:hAnsiTheme="minorHAnsi"/>
          <w:strike/>
          <w:sz w:val="20"/>
          <w:szCs w:val="20"/>
        </w:rPr>
        <w:t>3</w:t>
      </w:r>
      <w:r w:rsidRPr="001A380B">
        <w:rPr>
          <w:rFonts w:asciiTheme="minorHAnsi" w:hAnsiTheme="minorHAnsi"/>
          <w:strike/>
          <w:sz w:val="20"/>
          <w:szCs w:val="20"/>
        </w:rPr>
        <w:t>º do art. 7º.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/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/>
          <w:strike/>
          <w:sz w:val="20"/>
          <w:szCs w:val="20"/>
        </w:rPr>
        <w:t>Art. 1</w:t>
      </w:r>
      <w:r w:rsidR="0090273A" w:rsidRPr="001A380B">
        <w:rPr>
          <w:rFonts w:ascii="Calibri" w:hAnsi="Calibri"/>
          <w:strike/>
          <w:sz w:val="20"/>
          <w:szCs w:val="20"/>
        </w:rPr>
        <w:t>5</w:t>
      </w:r>
      <w:r w:rsidRPr="001A380B">
        <w:rPr>
          <w:rFonts w:ascii="Calibri" w:hAnsi="Calibri"/>
          <w:strike/>
          <w:sz w:val="20"/>
          <w:szCs w:val="20"/>
        </w:rPr>
        <w:t xml:space="preserve"> Situações omissas nesta Instrução Normativa seguirá o disposto na Lei 13.019/2014.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 w:cs="Times New Roman"/>
          <w:strike/>
          <w:sz w:val="20"/>
          <w:szCs w:val="20"/>
        </w:rPr>
        <w:t>Art. 1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6</w:t>
      </w:r>
      <w:r w:rsidRPr="001A380B">
        <w:rPr>
          <w:rFonts w:ascii="Calibri" w:hAnsi="Calibri" w:cs="Times New Roman"/>
          <w:strike/>
          <w:sz w:val="20"/>
          <w:szCs w:val="20"/>
        </w:rPr>
        <w:t xml:space="preserve"> Fica revogada a 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Instrução Normativa n. 04</w:t>
      </w:r>
      <w:r w:rsidRPr="001A380B">
        <w:rPr>
          <w:rFonts w:ascii="Calibri" w:hAnsi="Calibri" w:cs="Times New Roman"/>
          <w:strike/>
          <w:sz w:val="20"/>
          <w:szCs w:val="20"/>
        </w:rPr>
        <w:t>/202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0</w:t>
      </w:r>
      <w:r w:rsidRPr="001A380B">
        <w:rPr>
          <w:rFonts w:ascii="Calibri" w:hAnsi="Calibri" w:cs="Times New Roman"/>
          <w:strike/>
          <w:sz w:val="20"/>
          <w:szCs w:val="20"/>
        </w:rPr>
        <w:t>.</w:t>
      </w:r>
    </w:p>
    <w:p w:rsidR="00D74CD0" w:rsidRPr="001A380B" w:rsidRDefault="00D74CD0">
      <w:pPr>
        <w:pStyle w:val="Corpodetexto2"/>
        <w:spacing w:line="360" w:lineRule="auto"/>
        <w:ind w:firstLine="709"/>
        <w:rPr>
          <w:rFonts w:ascii="Calibri" w:hAnsi="Calibri" w:cs="Times New Roman"/>
          <w:strike/>
        </w:rPr>
      </w:pPr>
    </w:p>
    <w:p w:rsidR="00D74CD0" w:rsidRPr="001A380B" w:rsidRDefault="00531055">
      <w:pPr>
        <w:pStyle w:val="Corpodetexto2"/>
        <w:spacing w:line="360" w:lineRule="auto"/>
        <w:ind w:firstLine="709"/>
        <w:rPr>
          <w:strike/>
          <w:sz w:val="20"/>
          <w:szCs w:val="20"/>
        </w:rPr>
      </w:pPr>
      <w:r w:rsidRPr="001A380B">
        <w:rPr>
          <w:rFonts w:ascii="Calibri" w:hAnsi="Calibri" w:cs="Times New Roman"/>
          <w:strike/>
          <w:sz w:val="20"/>
          <w:szCs w:val="20"/>
        </w:rPr>
        <w:t>Art. 1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7</w:t>
      </w:r>
      <w:r w:rsidRPr="001A380B">
        <w:rPr>
          <w:rFonts w:ascii="Calibri" w:hAnsi="Calibri" w:cs="Times New Roman"/>
          <w:strike/>
          <w:sz w:val="20"/>
          <w:szCs w:val="20"/>
        </w:rPr>
        <w:t xml:space="preserve"> Esta Instrução Normativa entra em vigor na data de sua publicação.</w:t>
      </w:r>
    </w:p>
    <w:p w:rsidR="00D74CD0" w:rsidRPr="001A380B" w:rsidRDefault="00D74CD0">
      <w:pPr>
        <w:pStyle w:val="Recuodecorpodetexto2"/>
        <w:spacing w:line="360" w:lineRule="auto"/>
        <w:rPr>
          <w:rFonts w:ascii="Calibri" w:hAnsi="Calibri" w:cs="Times New Roman"/>
          <w:strike/>
          <w:sz w:val="20"/>
          <w:szCs w:val="20"/>
        </w:rPr>
      </w:pPr>
    </w:p>
    <w:p w:rsidR="00D74CD0" w:rsidRPr="001A380B" w:rsidRDefault="00531055">
      <w:pPr>
        <w:pStyle w:val="Recuodecorpodetexto2"/>
        <w:spacing w:line="360" w:lineRule="auto"/>
        <w:ind w:firstLine="0"/>
        <w:rPr>
          <w:strike/>
          <w:sz w:val="20"/>
          <w:szCs w:val="20"/>
        </w:rPr>
      </w:pPr>
      <w:r w:rsidRPr="001A380B">
        <w:rPr>
          <w:rFonts w:ascii="Calibri" w:hAnsi="Calibri" w:cs="Times New Roman"/>
          <w:strike/>
          <w:sz w:val="20"/>
          <w:szCs w:val="20"/>
        </w:rPr>
        <w:t xml:space="preserve">Taió, 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15</w:t>
      </w:r>
      <w:r w:rsidRPr="001A380B">
        <w:rPr>
          <w:rFonts w:ascii="Calibri" w:hAnsi="Calibri" w:cs="Times New Roman"/>
          <w:strike/>
          <w:sz w:val="20"/>
          <w:szCs w:val="20"/>
        </w:rPr>
        <w:t xml:space="preserve"> de </w:t>
      </w:r>
      <w:r w:rsidR="0090273A" w:rsidRPr="001A380B">
        <w:rPr>
          <w:rFonts w:ascii="Calibri" w:hAnsi="Calibri" w:cs="Times New Roman"/>
          <w:strike/>
          <w:sz w:val="20"/>
          <w:szCs w:val="20"/>
        </w:rPr>
        <w:t>abril</w:t>
      </w:r>
      <w:r w:rsidRPr="001A380B">
        <w:rPr>
          <w:rFonts w:ascii="Calibri" w:hAnsi="Calibri" w:cs="Times New Roman"/>
          <w:strike/>
          <w:sz w:val="20"/>
          <w:szCs w:val="20"/>
        </w:rPr>
        <w:t xml:space="preserve"> de 2021. </w:t>
      </w:r>
    </w:p>
    <w:p w:rsidR="00D74CD0" w:rsidRPr="001A380B" w:rsidRDefault="00D74CD0">
      <w:pPr>
        <w:spacing w:after="0" w:line="360" w:lineRule="auto"/>
        <w:jc w:val="center"/>
        <w:rPr>
          <w:rFonts w:cstheme="minorHAnsi"/>
          <w:bCs/>
          <w:strike/>
          <w:sz w:val="20"/>
          <w:szCs w:val="20"/>
        </w:rPr>
      </w:pPr>
    </w:p>
    <w:p w:rsidR="00D74CD0" w:rsidRPr="001A380B" w:rsidRDefault="00531055">
      <w:pPr>
        <w:spacing w:after="0" w:line="360" w:lineRule="auto"/>
        <w:rPr>
          <w:strike/>
          <w:sz w:val="20"/>
          <w:szCs w:val="20"/>
        </w:rPr>
      </w:pPr>
      <w:r w:rsidRPr="001A380B">
        <w:rPr>
          <w:rFonts w:cstheme="minorHAnsi"/>
          <w:bCs/>
          <w:strike/>
          <w:sz w:val="20"/>
          <w:szCs w:val="20"/>
        </w:rPr>
        <w:t xml:space="preserve">             </w:t>
      </w:r>
    </w:p>
    <w:p w:rsidR="00D74CD0" w:rsidRPr="001A380B" w:rsidRDefault="00531055">
      <w:pPr>
        <w:spacing w:after="0" w:line="360" w:lineRule="auto"/>
        <w:rPr>
          <w:strike/>
          <w:sz w:val="20"/>
          <w:szCs w:val="20"/>
        </w:rPr>
      </w:pPr>
      <w:r w:rsidRPr="001A380B">
        <w:rPr>
          <w:rFonts w:cstheme="minorHAnsi"/>
          <w:bCs/>
          <w:strike/>
          <w:sz w:val="20"/>
          <w:szCs w:val="20"/>
        </w:rPr>
        <w:t xml:space="preserve">              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Orli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José Machado                     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Elves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Johny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Schreiber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ab/>
        <w:t xml:space="preserve">                          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Indianara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Seman</w:t>
      </w:r>
      <w:proofErr w:type="spellEnd"/>
    </w:p>
    <w:p w:rsidR="00D74CD0" w:rsidRPr="001A380B" w:rsidRDefault="00531055">
      <w:pPr>
        <w:spacing w:after="0" w:line="360" w:lineRule="auto"/>
        <w:rPr>
          <w:strike/>
          <w:sz w:val="20"/>
          <w:szCs w:val="20"/>
        </w:rPr>
      </w:pPr>
      <w:r w:rsidRPr="001A380B">
        <w:rPr>
          <w:rFonts w:cstheme="minorHAnsi"/>
          <w:bCs/>
          <w:strike/>
          <w:sz w:val="20"/>
          <w:szCs w:val="20"/>
        </w:rPr>
        <w:t xml:space="preserve">             Controlador Interno                    Membro do colegiado</w:t>
      </w:r>
      <w:r w:rsidRPr="001A380B">
        <w:rPr>
          <w:rFonts w:cstheme="minorHAnsi"/>
          <w:bCs/>
          <w:strike/>
          <w:sz w:val="20"/>
          <w:szCs w:val="20"/>
        </w:rPr>
        <w:tab/>
        <w:t xml:space="preserve">                       Membro do colegiado</w:t>
      </w:r>
    </w:p>
    <w:p w:rsidR="00D74CD0" w:rsidRPr="001A380B" w:rsidRDefault="00D74CD0">
      <w:pPr>
        <w:spacing w:after="0" w:line="360" w:lineRule="auto"/>
        <w:rPr>
          <w:strike/>
          <w:sz w:val="20"/>
          <w:szCs w:val="20"/>
        </w:rPr>
      </w:pPr>
    </w:p>
    <w:p w:rsidR="00D74CD0" w:rsidRPr="001A380B" w:rsidRDefault="00D74CD0">
      <w:pPr>
        <w:spacing w:after="0" w:line="360" w:lineRule="auto"/>
        <w:rPr>
          <w:strike/>
          <w:sz w:val="20"/>
          <w:szCs w:val="20"/>
        </w:rPr>
      </w:pPr>
    </w:p>
    <w:p w:rsidR="00D74CD0" w:rsidRPr="001A380B" w:rsidRDefault="00531055">
      <w:pPr>
        <w:spacing w:after="0" w:line="360" w:lineRule="auto"/>
        <w:rPr>
          <w:strike/>
          <w:sz w:val="20"/>
          <w:szCs w:val="20"/>
        </w:rPr>
      </w:pPr>
      <w:r w:rsidRPr="001A380B">
        <w:rPr>
          <w:rFonts w:eastAsia="Calibri" w:cstheme="minorHAnsi"/>
          <w:bCs/>
          <w:strike/>
          <w:sz w:val="20"/>
          <w:szCs w:val="20"/>
        </w:rPr>
        <w:t xml:space="preserve">       </w:t>
      </w:r>
      <w:r w:rsidR="0090273A" w:rsidRPr="001A380B">
        <w:rPr>
          <w:rFonts w:eastAsia="Calibri" w:cstheme="minorHAnsi"/>
          <w:bCs/>
          <w:strike/>
          <w:sz w:val="20"/>
          <w:szCs w:val="20"/>
        </w:rPr>
        <w:t xml:space="preserve">Rubia Marlene </w:t>
      </w:r>
      <w:proofErr w:type="spellStart"/>
      <w:r w:rsidR="0090273A" w:rsidRPr="001A380B">
        <w:rPr>
          <w:rFonts w:eastAsia="Calibri" w:cstheme="minorHAnsi"/>
          <w:bCs/>
          <w:strike/>
          <w:sz w:val="20"/>
          <w:szCs w:val="20"/>
        </w:rPr>
        <w:t>Fusinato</w:t>
      </w:r>
      <w:proofErr w:type="spellEnd"/>
      <w:r w:rsidR="0090273A" w:rsidRPr="001A380B">
        <w:rPr>
          <w:rFonts w:eastAsia="Calibri" w:cstheme="minorHAnsi"/>
          <w:bCs/>
          <w:strike/>
          <w:sz w:val="20"/>
          <w:szCs w:val="20"/>
        </w:rPr>
        <w:t xml:space="preserve"> Duarte</w:t>
      </w:r>
      <w:r w:rsidRPr="001A380B">
        <w:rPr>
          <w:rFonts w:cstheme="minorHAnsi"/>
          <w:bCs/>
          <w:strike/>
          <w:sz w:val="20"/>
          <w:szCs w:val="20"/>
        </w:rPr>
        <w:t xml:space="preserve">      </w:t>
      </w:r>
      <w:r w:rsidR="0090273A" w:rsidRPr="001A380B">
        <w:rPr>
          <w:rFonts w:cstheme="minorHAnsi"/>
          <w:bCs/>
          <w:strike/>
          <w:sz w:val="20"/>
          <w:szCs w:val="20"/>
        </w:rPr>
        <w:t xml:space="preserve">    </w:t>
      </w:r>
      <w:r w:rsidRPr="001A380B">
        <w:rPr>
          <w:rFonts w:cstheme="minorHAnsi"/>
          <w:bCs/>
          <w:strike/>
          <w:sz w:val="20"/>
          <w:szCs w:val="20"/>
        </w:rPr>
        <w:t xml:space="preserve"> Vane</w:t>
      </w:r>
      <w:r w:rsidR="0090273A" w:rsidRPr="001A380B">
        <w:rPr>
          <w:rFonts w:cstheme="minorHAnsi"/>
          <w:bCs/>
          <w:strike/>
          <w:sz w:val="20"/>
          <w:szCs w:val="20"/>
        </w:rPr>
        <w:t xml:space="preserve">ssa </w:t>
      </w:r>
      <w:proofErr w:type="spellStart"/>
      <w:r w:rsidR="0090273A" w:rsidRPr="001A380B">
        <w:rPr>
          <w:rFonts w:cstheme="minorHAnsi"/>
          <w:bCs/>
          <w:strike/>
          <w:sz w:val="20"/>
          <w:szCs w:val="20"/>
        </w:rPr>
        <w:t>Manchein</w:t>
      </w:r>
      <w:proofErr w:type="spellEnd"/>
      <w:r w:rsidR="0090273A" w:rsidRPr="001A380B">
        <w:rPr>
          <w:rFonts w:cstheme="minorHAnsi"/>
          <w:bCs/>
          <w:strike/>
          <w:sz w:val="20"/>
          <w:szCs w:val="20"/>
        </w:rPr>
        <w:tab/>
        <w:t xml:space="preserve">               </w:t>
      </w:r>
      <w:r w:rsidRPr="001A380B">
        <w:rPr>
          <w:rFonts w:cstheme="minorHAnsi"/>
          <w:bCs/>
          <w:strike/>
          <w:sz w:val="20"/>
          <w:szCs w:val="20"/>
        </w:rPr>
        <w:t xml:space="preserve">  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Kaila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Cristina </w:t>
      </w:r>
      <w:proofErr w:type="spellStart"/>
      <w:r w:rsidRPr="001A380B">
        <w:rPr>
          <w:rFonts w:cstheme="minorHAnsi"/>
          <w:bCs/>
          <w:strike/>
          <w:sz w:val="20"/>
          <w:szCs w:val="20"/>
        </w:rPr>
        <w:t>Wolsteiner</w:t>
      </w:r>
      <w:proofErr w:type="spellEnd"/>
      <w:r w:rsidRPr="001A380B">
        <w:rPr>
          <w:rFonts w:cstheme="minorHAnsi"/>
          <w:bCs/>
          <w:strike/>
          <w:sz w:val="20"/>
          <w:szCs w:val="20"/>
        </w:rPr>
        <w:t xml:space="preserve">      </w:t>
      </w:r>
    </w:p>
    <w:p w:rsidR="00E612DC" w:rsidRPr="001A380B" w:rsidRDefault="00531055">
      <w:pPr>
        <w:spacing w:after="0" w:line="360" w:lineRule="auto"/>
        <w:rPr>
          <w:rFonts w:cstheme="minorHAnsi"/>
          <w:bCs/>
          <w:strike/>
          <w:sz w:val="20"/>
          <w:szCs w:val="20"/>
        </w:rPr>
        <w:sectPr w:rsidR="00E612DC" w:rsidRPr="001A380B">
          <w:headerReference w:type="default" r:id="rId7"/>
          <w:footerReference w:type="default" r:id="rId8"/>
          <w:pgSz w:w="11906" w:h="16838"/>
          <w:pgMar w:top="1899" w:right="1701" w:bottom="1048" w:left="1701" w:header="708" w:footer="708" w:gutter="0"/>
          <w:cols w:space="720"/>
          <w:formProt w:val="0"/>
          <w:docGrid w:linePitch="360" w:charSpace="4096"/>
        </w:sectPr>
      </w:pPr>
      <w:r w:rsidRPr="001A380B">
        <w:rPr>
          <w:rFonts w:cstheme="minorHAnsi"/>
          <w:bCs/>
          <w:strike/>
          <w:sz w:val="20"/>
          <w:szCs w:val="20"/>
        </w:rPr>
        <w:t xml:space="preserve">        </w:t>
      </w:r>
      <w:r w:rsidR="0090273A" w:rsidRPr="001A380B">
        <w:rPr>
          <w:rFonts w:cstheme="minorHAnsi"/>
          <w:bCs/>
          <w:strike/>
          <w:sz w:val="20"/>
          <w:szCs w:val="20"/>
        </w:rPr>
        <w:t xml:space="preserve">          </w:t>
      </w:r>
      <w:r w:rsidRPr="001A380B">
        <w:rPr>
          <w:rFonts w:cstheme="minorHAnsi"/>
          <w:bCs/>
          <w:strike/>
          <w:sz w:val="20"/>
          <w:szCs w:val="20"/>
        </w:rPr>
        <w:t xml:space="preserve">Membro </w:t>
      </w:r>
      <w:r w:rsidR="0090273A" w:rsidRPr="001A380B">
        <w:rPr>
          <w:rFonts w:cstheme="minorHAnsi"/>
          <w:bCs/>
          <w:strike/>
          <w:sz w:val="20"/>
          <w:szCs w:val="20"/>
        </w:rPr>
        <w:t xml:space="preserve">do colegiado               </w:t>
      </w:r>
      <w:r w:rsidRPr="001A380B">
        <w:rPr>
          <w:rFonts w:cstheme="minorHAnsi"/>
          <w:bCs/>
          <w:strike/>
          <w:sz w:val="20"/>
          <w:szCs w:val="20"/>
        </w:rPr>
        <w:t>Membro do col</w:t>
      </w:r>
      <w:r w:rsidR="0090273A" w:rsidRPr="001A380B">
        <w:rPr>
          <w:rFonts w:cstheme="minorHAnsi"/>
          <w:bCs/>
          <w:strike/>
          <w:sz w:val="20"/>
          <w:szCs w:val="20"/>
        </w:rPr>
        <w:t xml:space="preserve">egiado                  </w:t>
      </w:r>
      <w:r w:rsidRPr="001A380B">
        <w:rPr>
          <w:rFonts w:cstheme="minorHAnsi"/>
          <w:bCs/>
          <w:strike/>
          <w:sz w:val="20"/>
          <w:szCs w:val="20"/>
        </w:rPr>
        <w:t>Membro do colegiado</w:t>
      </w: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  <w:r w:rsidRPr="001A380B">
        <w:rPr>
          <w:strike/>
          <w:noProof/>
          <w:sz w:val="20"/>
          <w:szCs w:val="20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901197</wp:posOffset>
            </wp:positionH>
            <wp:positionV relativeFrom="paragraph">
              <wp:posOffset>200923</wp:posOffset>
            </wp:positionV>
            <wp:extent cx="8143875" cy="54006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D74CD0" w:rsidRPr="001A380B" w:rsidRDefault="00D74CD0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  <w:r w:rsidRPr="001A380B">
        <w:rPr>
          <w:strike/>
          <w:noProof/>
          <w:sz w:val="20"/>
          <w:szCs w:val="20"/>
          <w:lang w:eastAsia="pt-B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239111</wp:posOffset>
            </wp:positionH>
            <wp:positionV relativeFrom="paragraph">
              <wp:posOffset>165253</wp:posOffset>
            </wp:positionV>
            <wp:extent cx="8781415" cy="539178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41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  <w:sectPr w:rsidR="00E612DC" w:rsidRPr="001A380B" w:rsidSect="00E612DC">
          <w:pgSz w:w="16838" w:h="11906" w:orient="landscape"/>
          <w:pgMar w:top="1701" w:right="1899" w:bottom="1701" w:left="1048" w:header="708" w:footer="708" w:gutter="0"/>
          <w:cols w:space="720"/>
          <w:formProt w:val="0"/>
          <w:docGrid w:linePitch="360" w:charSpace="4096"/>
        </w:sect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 w:rsidP="00E612DC">
      <w:pPr>
        <w:pStyle w:val="Standard"/>
        <w:jc w:val="center"/>
        <w:rPr>
          <w:rFonts w:ascii="Calibri" w:hAnsi="Calibri"/>
          <w:strike/>
        </w:rPr>
      </w:pPr>
      <w:r w:rsidRPr="001A380B">
        <w:rPr>
          <w:rFonts w:ascii="Calibri" w:hAnsi="Calibri"/>
          <w:strike/>
        </w:rPr>
        <w:t>ANEXO III</w:t>
      </w:r>
    </w:p>
    <w:p w:rsidR="00E612DC" w:rsidRPr="001A380B" w:rsidRDefault="00E612DC" w:rsidP="00E612DC">
      <w:pPr>
        <w:pStyle w:val="Standard"/>
        <w:jc w:val="center"/>
        <w:rPr>
          <w:rFonts w:ascii="Calibri" w:hAnsi="Calibri"/>
          <w:strike/>
        </w:rPr>
      </w:pPr>
      <w:r w:rsidRPr="001A380B">
        <w:rPr>
          <w:rFonts w:ascii="Calibri" w:hAnsi="Calibri"/>
          <w:strike/>
        </w:rPr>
        <w:t xml:space="preserve">RELATÓRIO DE VISITA TÉCNICA </w:t>
      </w:r>
      <w:r w:rsidRPr="001A380B">
        <w:rPr>
          <w:rFonts w:ascii="Calibri" w:hAnsi="Calibri"/>
          <w:i/>
          <w:iCs/>
          <w:strike/>
        </w:rPr>
        <w:t>IN LOCO</w:t>
      </w:r>
    </w:p>
    <w:p w:rsidR="00E612DC" w:rsidRPr="001A380B" w:rsidRDefault="00E612DC" w:rsidP="00E612DC">
      <w:pPr>
        <w:pStyle w:val="Standard"/>
        <w:jc w:val="center"/>
        <w:rPr>
          <w:rFonts w:ascii="Calibri" w:hAnsi="Calibri"/>
          <w:i/>
          <w:iCs/>
          <w:strike/>
        </w:rPr>
      </w:pPr>
    </w:p>
    <w:p w:rsidR="00E612DC" w:rsidRPr="001A380B" w:rsidRDefault="00E612DC" w:rsidP="00E612DC">
      <w:pPr>
        <w:pStyle w:val="Standard"/>
        <w:jc w:val="center"/>
        <w:rPr>
          <w:rFonts w:ascii="Calibri" w:hAnsi="Calibri"/>
          <w:i/>
          <w:iCs/>
          <w:strike/>
        </w:rPr>
      </w:pPr>
    </w:p>
    <w:tbl>
      <w:tblPr>
        <w:tblW w:w="9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3"/>
        <w:gridCol w:w="3198"/>
        <w:gridCol w:w="3209"/>
      </w:tblGrid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strike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Relatório nº: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Processo nº: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Parceria nº: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Organização da Sociedade Civil: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Parcela nº: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Período referência da parcela: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strike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Data da visita: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Objetivo da visita: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i/>
                <w:iCs/>
                <w:strike/>
                <w:sz w:val="20"/>
                <w:szCs w:val="20"/>
              </w:rPr>
              <w:t>(Descrever o que será verificado na visita, demonstrando sua essencialidade para verificação do cumprimento do objeto da parceria e do alcance das metas).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Relatório: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i/>
                <w:iCs/>
                <w:strike/>
                <w:sz w:val="20"/>
                <w:szCs w:val="20"/>
              </w:rPr>
              <w:t>(Narrar o que foi verificado durante a visita técnica in loco, discriminando a situação da execução do projeto/atividade em conformidade com o que foi previsto no Plano de Trabalho. Relatar: o que foi visto; porque foi visto e como foi visto).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Conclusão: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i/>
                <w:iCs/>
                <w:strike/>
                <w:sz w:val="20"/>
                <w:szCs w:val="20"/>
              </w:rPr>
              <w:t>(Fazer análise crítica (avaliação) da visita técnica, tendo em vistas os objetivos previstos no Plano de Trabalho).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Providências ou recomendações: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i/>
                <w:iCs/>
                <w:strike/>
                <w:sz w:val="20"/>
                <w:szCs w:val="20"/>
              </w:rPr>
              <w:t>(Informar eventuais providências ou recomendações a serem adotadas pela OSC em decorrência da conclusão da visita).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i/>
                <w:iCs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Data: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Carimbo e assinatura do gestor da parceria.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</w:tbl>
    <w:p w:rsidR="00E612DC" w:rsidRPr="001A380B" w:rsidRDefault="00E612DC" w:rsidP="00E612DC">
      <w:pPr>
        <w:pStyle w:val="Standard"/>
        <w:rPr>
          <w:strike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 w:rsidP="00E612DC">
      <w:pPr>
        <w:pStyle w:val="Standard"/>
        <w:jc w:val="center"/>
        <w:rPr>
          <w:rFonts w:ascii="Calibri" w:hAnsi="Calibri"/>
          <w:strike/>
        </w:rPr>
      </w:pPr>
      <w:r w:rsidRPr="001A380B">
        <w:rPr>
          <w:rFonts w:ascii="Calibri" w:hAnsi="Calibri"/>
          <w:strike/>
        </w:rPr>
        <w:t>ANEXO IV</w:t>
      </w:r>
    </w:p>
    <w:p w:rsidR="00E612DC" w:rsidRPr="001A380B" w:rsidRDefault="00E612DC" w:rsidP="00E612DC">
      <w:pPr>
        <w:pStyle w:val="Standard"/>
        <w:jc w:val="center"/>
        <w:rPr>
          <w:rFonts w:ascii="Calibri" w:hAnsi="Calibri"/>
          <w:strike/>
        </w:rPr>
      </w:pPr>
      <w:r w:rsidRPr="001A380B">
        <w:rPr>
          <w:rFonts w:ascii="Calibri" w:hAnsi="Calibri"/>
          <w:strike/>
        </w:rPr>
        <w:t>RELATÓRIO TÉCNICO DE MONITORAMENTO E AVALIAÇÃO</w:t>
      </w:r>
    </w:p>
    <w:p w:rsidR="00E612DC" w:rsidRPr="001A380B" w:rsidRDefault="00E612DC" w:rsidP="00E612DC">
      <w:pPr>
        <w:pStyle w:val="Standard"/>
        <w:rPr>
          <w:strike/>
        </w:rPr>
      </w:pPr>
    </w:p>
    <w:tbl>
      <w:tblPr>
        <w:tblW w:w="9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1074"/>
        <w:gridCol w:w="1073"/>
        <w:gridCol w:w="1074"/>
        <w:gridCol w:w="3209"/>
      </w:tblGrid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strike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Relatório nº: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Processo nº: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Parceria nº: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Organização da Sociedade Civil: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Parcela nº: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Período referência da parcela: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Período de vigência da parceria: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Valor Transferido da parcela (R$):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Valor efetivamente comprovado (R$):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Descrição sumária das atividades e metas estabelecidas:</w:t>
            </w: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jc w:val="both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Análise das atividades realizadas, do cumprimento das metas e do impacto do benefício social obtido em razão da execução do objeto até o período, com base nos indicadores estabelecidos e aprovados no plano de trabalho:</w:t>
            </w:r>
          </w:p>
          <w:p w:rsidR="00E612DC" w:rsidRPr="001A380B" w:rsidRDefault="00E612DC" w:rsidP="00687B51">
            <w:pPr>
              <w:pStyle w:val="Standard"/>
              <w:jc w:val="both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jc w:val="both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jc w:val="both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Análise dos documentos comprobatórios das despesas apresentados pela organização da sociedade civil:</w:t>
            </w: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Análise de eventuais auditorias realizadas pelos controles interno e externo:</w:t>
            </w: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Outras observações:</w:t>
            </w: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Data: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64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Carimbo e assinatura do responsável pelo relatório:</w:t>
            </w: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95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Homologado pela comissão de monitoramento e avaliação (C.M.A.):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SIM        (   ) NÃO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E612DC" w:rsidRPr="001A380B" w:rsidTr="00E612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Nome dos membros da C.M.A.:</w:t>
            </w: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4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2DC" w:rsidRPr="001A380B" w:rsidRDefault="00E612DC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Assinatura dos membros da C.M.A.:</w:t>
            </w:r>
          </w:p>
        </w:tc>
      </w:tr>
    </w:tbl>
    <w:p w:rsidR="00E612DC" w:rsidRPr="001A380B" w:rsidRDefault="00E612DC" w:rsidP="00E612DC">
      <w:pPr>
        <w:pStyle w:val="Standard"/>
        <w:rPr>
          <w:strike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E612DC" w:rsidRPr="001A380B" w:rsidRDefault="00E612DC">
      <w:pPr>
        <w:spacing w:after="0" w:line="360" w:lineRule="auto"/>
        <w:rPr>
          <w:strike/>
          <w:sz w:val="20"/>
          <w:szCs w:val="20"/>
        </w:rPr>
      </w:pPr>
    </w:p>
    <w:p w:rsidR="00862A1B" w:rsidRPr="001A380B" w:rsidRDefault="00862A1B" w:rsidP="00862A1B">
      <w:pPr>
        <w:pStyle w:val="Standard"/>
        <w:jc w:val="center"/>
        <w:rPr>
          <w:rFonts w:ascii="Calibri" w:hAnsi="Calibri"/>
          <w:strike/>
        </w:rPr>
      </w:pPr>
    </w:p>
    <w:p w:rsidR="00862A1B" w:rsidRPr="001A380B" w:rsidRDefault="00862A1B" w:rsidP="00862A1B">
      <w:pPr>
        <w:pStyle w:val="Standard"/>
        <w:jc w:val="center"/>
        <w:rPr>
          <w:strike/>
        </w:rPr>
      </w:pPr>
      <w:r w:rsidRPr="001A380B">
        <w:rPr>
          <w:rFonts w:ascii="Calibri" w:hAnsi="Calibri"/>
          <w:strike/>
        </w:rPr>
        <w:t>ANEXO V</w:t>
      </w:r>
    </w:p>
    <w:p w:rsidR="00862A1B" w:rsidRPr="001A380B" w:rsidRDefault="00862A1B" w:rsidP="00862A1B">
      <w:pPr>
        <w:pStyle w:val="Standard"/>
        <w:jc w:val="center"/>
        <w:rPr>
          <w:rFonts w:ascii="Calibri" w:hAnsi="Calibri"/>
          <w:strike/>
        </w:rPr>
      </w:pPr>
      <w:r w:rsidRPr="001A380B">
        <w:rPr>
          <w:rFonts w:ascii="Calibri" w:hAnsi="Calibri"/>
          <w:strike/>
        </w:rPr>
        <w:t>PARECER TÉCNICO CONCLUSIVO DE ANÁLISE</w:t>
      </w:r>
    </w:p>
    <w:p w:rsidR="00862A1B" w:rsidRPr="001A380B" w:rsidRDefault="00862A1B" w:rsidP="00862A1B">
      <w:pPr>
        <w:pStyle w:val="Standard"/>
        <w:jc w:val="center"/>
        <w:rPr>
          <w:rFonts w:ascii="Calibri" w:hAnsi="Calibri"/>
          <w:strike/>
        </w:rPr>
      </w:pPr>
    </w:p>
    <w:tbl>
      <w:tblPr>
        <w:tblW w:w="958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1074"/>
        <w:gridCol w:w="2147"/>
        <w:gridCol w:w="3209"/>
      </w:tblGrid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Parecer nº: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Processo nº: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Parceria nº: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Organização da Sociedade Civil: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Parcela nº: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Período referência da parcela: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Período de vigência da parceria: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Valor Transferido da parcela (R$):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5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Valor efetivamente comprovado (R$):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strike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Mencionar os resultados já alcançados e seus benefícios: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jc w:val="both"/>
              <w:rPr>
                <w:strike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Mencionar os impactos econômicos ou sociais:</w:t>
            </w:r>
          </w:p>
          <w:p w:rsidR="00862A1B" w:rsidRPr="001A380B" w:rsidRDefault="00862A1B" w:rsidP="00687B51">
            <w:pPr>
              <w:pStyle w:val="Standard"/>
              <w:jc w:val="both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Mencionar </w:t>
            </w: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o grau de satisfação do público-alvo:</w:t>
            </w:r>
          </w:p>
          <w:p w:rsidR="00862A1B" w:rsidRPr="001A380B" w:rsidRDefault="00862A1B" w:rsidP="00687B51">
            <w:pPr>
              <w:pStyle w:val="Standard"/>
              <w:rPr>
                <w:rFonts w:ascii="Arial" w:hAnsi="Arial"/>
                <w:strike/>
                <w:color w:val="000000"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strike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Mencionar a possibilidade de sustentabilidade das ações após a conclusão do objeto pactuado: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Foi realizado relatório de visita técnica </w:t>
            </w:r>
            <w:r w:rsidRPr="001A380B">
              <w:rPr>
                <w:rFonts w:ascii="Calibri" w:hAnsi="Calibri"/>
                <w:i/>
                <w:iCs/>
                <w:strike/>
                <w:sz w:val="20"/>
                <w:szCs w:val="20"/>
              </w:rPr>
              <w:t>in loco?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SIM   (   ) NÃO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>Os dados financeiros apresentam nexo de causalidade entre a receita e a despesa realizada, a sua conformidade e o cumprimento das normas pertinentes?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 ) SIM   (   ) EM PARTES   (   ) NÃO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O relatório de execução do objeto está em conformidade? </w:t>
            </w:r>
            <w:proofErr w:type="gramStart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 ) SIM    (   ) NÃO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O relatório de execução financeira está em conformidade? </w:t>
            </w:r>
            <w:proofErr w:type="gramStart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color w:val="000000"/>
                <w:sz w:val="20"/>
                <w:szCs w:val="20"/>
              </w:rPr>
              <w:t xml:space="preserve"> ) SIM    (   ) NÃO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Outras observações: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Análise da prestação de contas: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REGULAR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REGULAR COM RESSALVAS</w:t>
            </w:r>
          </w:p>
          <w:p w:rsidR="00862A1B" w:rsidRPr="001A380B" w:rsidRDefault="00862A1B" w:rsidP="00687B51">
            <w:pPr>
              <w:pStyle w:val="Standard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IRREGULAR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Data: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strike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Carimbo e assinatura do gestor da parceria.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Observações do administrador público: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Manifestação conclusiva do administrador público: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APROVAÇÃO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APROVAÇÃO COM RESSALVAS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proofErr w:type="gramStart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(  </w:t>
            </w:r>
            <w:proofErr w:type="gramEnd"/>
            <w:r w:rsidRPr="001A380B">
              <w:rPr>
                <w:rFonts w:ascii="Calibri" w:hAnsi="Calibri"/>
                <w:strike/>
                <w:sz w:val="20"/>
                <w:szCs w:val="20"/>
              </w:rPr>
              <w:t xml:space="preserve"> ) REJEIÇÃO</w:t>
            </w:r>
          </w:p>
        </w:tc>
      </w:tr>
      <w:tr w:rsidR="00862A1B" w:rsidRPr="001A380B" w:rsidTr="00687B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Data:</w:t>
            </w:r>
          </w:p>
          <w:p w:rsidR="00862A1B" w:rsidRPr="001A380B" w:rsidRDefault="00862A1B" w:rsidP="00687B51">
            <w:pPr>
              <w:pStyle w:val="TableContents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A1B" w:rsidRPr="001A380B" w:rsidRDefault="00862A1B" w:rsidP="00687B51">
            <w:pPr>
              <w:pStyle w:val="TableContents"/>
              <w:rPr>
                <w:strike/>
              </w:rPr>
            </w:pPr>
            <w:r w:rsidRPr="001A380B">
              <w:rPr>
                <w:rFonts w:ascii="Calibri" w:hAnsi="Calibri"/>
                <w:strike/>
                <w:sz w:val="20"/>
                <w:szCs w:val="20"/>
              </w:rPr>
              <w:t>Carimbo e assinatura do administrador público.</w:t>
            </w:r>
          </w:p>
        </w:tc>
      </w:tr>
    </w:tbl>
    <w:p w:rsidR="00862A1B" w:rsidRPr="001A380B" w:rsidRDefault="00862A1B" w:rsidP="00862A1B">
      <w:pPr>
        <w:pStyle w:val="Standard"/>
        <w:rPr>
          <w:strike/>
        </w:rPr>
      </w:pPr>
    </w:p>
    <w:bookmarkEnd w:id="0"/>
    <w:p w:rsidR="00862A1B" w:rsidRPr="001A380B" w:rsidRDefault="00862A1B">
      <w:pPr>
        <w:spacing w:after="0" w:line="360" w:lineRule="auto"/>
        <w:rPr>
          <w:strike/>
          <w:sz w:val="20"/>
          <w:szCs w:val="20"/>
        </w:rPr>
      </w:pPr>
    </w:p>
    <w:sectPr w:rsidR="00862A1B" w:rsidRPr="001A380B" w:rsidSect="00E612DC">
      <w:pgSz w:w="11906" w:h="16838"/>
      <w:pgMar w:top="1899" w:right="1701" w:bottom="1048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EA" w:rsidRDefault="008115EA">
      <w:pPr>
        <w:spacing w:after="0" w:line="240" w:lineRule="auto"/>
      </w:pPr>
      <w:r>
        <w:separator/>
      </w:r>
    </w:p>
  </w:endnote>
  <w:endnote w:type="continuationSeparator" w:id="0">
    <w:p w:rsidR="008115EA" w:rsidRDefault="0081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D0" w:rsidRDefault="00531055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0" allowOverlap="1">
          <wp:simplePos x="0" y="0"/>
          <wp:positionH relativeFrom="column">
            <wp:posOffset>-1156335</wp:posOffset>
          </wp:positionH>
          <wp:positionV relativeFrom="paragraph">
            <wp:posOffset>177165</wp:posOffset>
          </wp:positionV>
          <wp:extent cx="11420475" cy="448310"/>
          <wp:effectExtent l="0" t="0" r="0" b="0"/>
          <wp:wrapNone/>
          <wp:docPr id="10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204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EA" w:rsidRDefault="008115EA">
      <w:pPr>
        <w:spacing w:after="0" w:line="240" w:lineRule="auto"/>
      </w:pPr>
      <w:r>
        <w:separator/>
      </w:r>
    </w:p>
  </w:footnote>
  <w:footnote w:type="continuationSeparator" w:id="0">
    <w:p w:rsidR="008115EA" w:rsidRDefault="0081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D0" w:rsidRDefault="005310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3633470</wp:posOffset>
              </wp:positionH>
              <wp:positionV relativeFrom="paragraph">
                <wp:posOffset>-194945</wp:posOffset>
              </wp:positionV>
              <wp:extent cx="2286635" cy="819785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1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Fone: 47 3562-8328</w:t>
                          </w:r>
                        </w:p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Avenida Luiz Bertoli, 44</w:t>
                          </w:r>
                        </w:p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Centro - Taió - SC</w:t>
                          </w:r>
                        </w:p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CEP: 89190-000</w:t>
                          </w:r>
                        </w:p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color w:val="31317C"/>
                              <w:sz w:val="20"/>
                              <w:szCs w:val="20"/>
                            </w:rPr>
                            <w:t>www.taio.sc.gov.br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orma1" o:spid="_x0000_s1026" style="position:absolute;margin-left:286.1pt;margin-top:-15.35pt;width:180.05pt;height:64.5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" o:allowincell="f" filled="f" stroked="f" strokeweight="0">
              <v:textbox inset="0,0,0,0">
                <w:txbxContent>
                  <w:p w:rsidR="00D74CD0" w:rsidRDefault="00531055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>Fone: 47 3562-8328</w:t>
                    </w:r>
                  </w:p>
                  <w:p w:rsidR="00D74CD0" w:rsidRDefault="00531055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 xml:space="preserve">                   Avenida Luiz Bertoli, 44</w:t>
                    </w:r>
                  </w:p>
                  <w:p w:rsidR="00D74CD0" w:rsidRDefault="00531055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Centro - Taió - SC</w:t>
                    </w:r>
                  </w:p>
                  <w:p w:rsidR="00D74CD0" w:rsidRDefault="00531055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>CEP: 89190-000</w:t>
                    </w:r>
                  </w:p>
                  <w:p w:rsidR="00D74CD0" w:rsidRDefault="00531055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color w:val="31317C"/>
                        <w:sz w:val="20"/>
                        <w:szCs w:val="20"/>
                      </w:rPr>
                      <w:t>www.taio.sc.gov.br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column">
                <wp:posOffset>1791335</wp:posOffset>
              </wp:positionH>
              <wp:positionV relativeFrom="paragraph">
                <wp:posOffset>82550</wp:posOffset>
              </wp:positionV>
              <wp:extent cx="2143760" cy="400685"/>
              <wp:effectExtent l="0" t="0" r="0" b="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080" cy="39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24"/>
                              <w:szCs w:val="20"/>
                            </w:rPr>
                            <w:t>DEPARTAMENTO DE</w:t>
                          </w:r>
                        </w:p>
                        <w:p w:rsidR="00D74CD0" w:rsidRDefault="00531055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24"/>
                              <w:szCs w:val="20"/>
                            </w:rPr>
                            <w:t>CONTROLE INTERNO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orma2" o:spid="_x0000_s1027" style="position:absolute;margin-left:141.05pt;margin-top:6.5pt;width:168.8pt;height:31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" o:allowincell="f" filled="f" stroked="f" strokeweight="0">
              <v:textbox inset="0,0,0,0">
                <w:txbxContent>
                  <w:p w:rsidR="00D74CD0" w:rsidRDefault="00531055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  <w:sz w:val="24"/>
                        <w:szCs w:val="20"/>
                      </w:rPr>
                      <w:t>DEPARTAMENTO DE</w:t>
                    </w:r>
                  </w:p>
                  <w:p w:rsidR="00D74CD0" w:rsidRDefault="00531055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  <w:sz w:val="24"/>
                        <w:szCs w:val="20"/>
                      </w:rPr>
                      <w:t>CONTROLE INTERNO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5168" behindDoc="1" locked="0" layoutInCell="0" allowOverlap="1">
          <wp:simplePos x="0" y="0"/>
          <wp:positionH relativeFrom="column">
            <wp:posOffset>-381000</wp:posOffset>
          </wp:positionH>
          <wp:positionV relativeFrom="paragraph">
            <wp:posOffset>-271145</wp:posOffset>
          </wp:positionV>
          <wp:extent cx="1857375" cy="1080135"/>
          <wp:effectExtent l="0" t="0" r="0" b="0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A09"/>
    <w:multiLevelType w:val="multilevel"/>
    <w:tmpl w:val="8728815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CD0"/>
    <w:rsid w:val="001105B7"/>
    <w:rsid w:val="001A380B"/>
    <w:rsid w:val="001C741D"/>
    <w:rsid w:val="00313C3A"/>
    <w:rsid w:val="00343D1D"/>
    <w:rsid w:val="003E0E0A"/>
    <w:rsid w:val="00531055"/>
    <w:rsid w:val="00596FF1"/>
    <w:rsid w:val="00646F28"/>
    <w:rsid w:val="008115EA"/>
    <w:rsid w:val="00862A1B"/>
    <w:rsid w:val="0090273A"/>
    <w:rsid w:val="00BA1D47"/>
    <w:rsid w:val="00BE2B28"/>
    <w:rsid w:val="00CF7A8B"/>
    <w:rsid w:val="00D01BD4"/>
    <w:rsid w:val="00D74CD0"/>
    <w:rsid w:val="00E612DC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B6968-2B7B-4096-BE3B-D3F8154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D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F7B1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7B1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7B1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13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A13F8"/>
  </w:style>
  <w:style w:type="character" w:customStyle="1" w:styleId="RodapChar">
    <w:name w:val="Rodapé Char"/>
    <w:basedOn w:val="Fontepargpadro"/>
    <w:link w:val="Rodap"/>
    <w:uiPriority w:val="99"/>
    <w:qFormat/>
    <w:rsid w:val="00BA13F8"/>
  </w:style>
  <w:style w:type="character" w:customStyle="1" w:styleId="Ttulo1Char">
    <w:name w:val="Título 1 Char"/>
    <w:basedOn w:val="Fontepargpadro"/>
    <w:link w:val="Ttulo1"/>
    <w:qFormat/>
    <w:rsid w:val="007F7B1B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F7B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F7B1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517EC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13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qFormat/>
    <w:rsid w:val="007F7B1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7F7B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834D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A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12DC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612DC"/>
    <w:pPr>
      <w:widowControl w:val="0"/>
      <w:suppressLineNumbers/>
    </w:pPr>
  </w:style>
  <w:style w:type="paragraph" w:styleId="NormalWeb">
    <w:name w:val="Normal (Web)"/>
    <w:basedOn w:val="Normal"/>
    <w:uiPriority w:val="99"/>
    <w:semiHidden/>
    <w:unhideWhenUsed/>
    <w:rsid w:val="00E612DC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9</Pages>
  <Words>1841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dc:description/>
  <cp:lastModifiedBy>Usuário</cp:lastModifiedBy>
  <cp:revision>361</cp:revision>
  <dcterms:created xsi:type="dcterms:W3CDTF">2019-11-21T14:06:00Z</dcterms:created>
  <dcterms:modified xsi:type="dcterms:W3CDTF">2022-10-18T17:44:00Z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